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D856" w14:textId="60BC4190" w:rsidR="00900770" w:rsidRDefault="00900770">
      <w:r>
        <w:t>APA Referencing Style</w:t>
      </w:r>
    </w:p>
    <w:p w14:paraId="312C150B" w14:textId="033017C6" w:rsidR="00900770" w:rsidRPr="00900770" w:rsidRDefault="00900770">
      <w:pPr>
        <w:rPr>
          <w:b/>
          <w:bCs/>
          <w:i/>
          <w:iCs/>
        </w:rPr>
      </w:pPr>
    </w:p>
    <w:p w14:paraId="670CB30F" w14:textId="12BCF2FD" w:rsidR="00900770" w:rsidRPr="00900770" w:rsidRDefault="00900770">
      <w:pPr>
        <w:rPr>
          <w:b/>
          <w:bCs/>
          <w:i/>
          <w:iCs/>
        </w:rPr>
      </w:pPr>
      <w:r w:rsidRPr="00900770">
        <w:rPr>
          <w:b/>
          <w:bCs/>
          <w:i/>
          <w:iCs/>
        </w:rPr>
        <w:t>In-text example</w:t>
      </w:r>
    </w:p>
    <w:p w14:paraId="3BAD20BF" w14:textId="7BCE176D" w:rsidR="00900770" w:rsidRDefault="00900770"/>
    <w:p w14:paraId="2C659AD9" w14:textId="3D61CEF6" w:rsidR="00900770" w:rsidRDefault="00900770">
      <w:r>
        <w:rPr>
          <w:noProof/>
        </w:rPr>
        <w:drawing>
          <wp:inline distT="0" distB="0" distL="0" distR="0" wp14:anchorId="2BDBD744" wp14:editId="6E461128">
            <wp:extent cx="4006850" cy="1740535"/>
            <wp:effectExtent l="0" t="0" r="0" b="0"/>
            <wp:docPr id="1" name="Picture 1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1" r="27712"/>
                    <a:stretch/>
                  </pic:blipFill>
                  <pic:spPr bwMode="auto">
                    <a:xfrm>
                      <a:off x="0" y="0"/>
                      <a:ext cx="400685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266CE" w14:textId="2BEEBEBC" w:rsidR="00900770" w:rsidRDefault="00900770"/>
    <w:p w14:paraId="0117FA3B" w14:textId="110D2EBC" w:rsidR="00900770" w:rsidRPr="00900770" w:rsidRDefault="00900770">
      <w:pPr>
        <w:rPr>
          <w:b/>
          <w:bCs/>
          <w:i/>
          <w:iCs/>
        </w:rPr>
      </w:pPr>
    </w:p>
    <w:p w14:paraId="41C697DF" w14:textId="161098E2" w:rsidR="00900770" w:rsidRPr="00900770" w:rsidRDefault="00900770">
      <w:pPr>
        <w:rPr>
          <w:b/>
          <w:bCs/>
          <w:i/>
          <w:iCs/>
        </w:rPr>
      </w:pPr>
      <w:r w:rsidRPr="00900770">
        <w:rPr>
          <w:b/>
          <w:bCs/>
          <w:i/>
          <w:iCs/>
        </w:rPr>
        <w:t>Referencing List</w:t>
      </w:r>
      <w:r>
        <w:rPr>
          <w:b/>
          <w:bCs/>
          <w:i/>
          <w:iCs/>
        </w:rPr>
        <w:t xml:space="preserve"> Example</w:t>
      </w:r>
    </w:p>
    <w:p w14:paraId="226BF47B" w14:textId="228ECC75" w:rsidR="00900770" w:rsidRDefault="00900770"/>
    <w:p w14:paraId="5B4659B4" w14:textId="4874F712" w:rsidR="00900770" w:rsidRDefault="00900770">
      <w:r>
        <w:rPr>
          <w:noProof/>
        </w:rPr>
        <w:drawing>
          <wp:inline distT="0" distB="0" distL="0" distR="0" wp14:anchorId="41AB60AB" wp14:editId="5C7DCA06">
            <wp:extent cx="8863330" cy="1739265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736E" w14:textId="77777777" w:rsidR="00900770" w:rsidRDefault="00900770"/>
    <w:tbl>
      <w:tblPr>
        <w:tblW w:w="1404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2965"/>
        <w:gridCol w:w="8998"/>
      </w:tblGrid>
      <w:tr w:rsidR="00A72E7A" w:rsidRPr="00A72E7A" w14:paraId="67F2B537" w14:textId="77777777" w:rsidTr="00A72E7A">
        <w:trPr>
          <w:tblCellSpacing w:w="15" w:type="dxa"/>
        </w:trPr>
        <w:tc>
          <w:tcPr>
            <w:tcW w:w="13980" w:type="dxa"/>
            <w:gridSpan w:val="3"/>
            <w:vAlign w:val="center"/>
            <w:hideMark/>
          </w:tcPr>
          <w:p w14:paraId="33298344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6" w:tgtFrame="_blank" w:history="1">
              <w:r w:rsidR="00A72E7A" w:rsidRPr="00A72E7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Books</w:t>
              </w:r>
            </w:hyperlink>
            <w:r w:rsidR="00A72E7A"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14:paraId="5A9D848B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pict w14:anchorId="630FAA9D">
                <v:rect id="_x0000_i1025" style="width:0;height:1.5pt" o:hralign="center" o:hrstd="t" o:hr="t" fillcolor="#a0a0a0" stroked="f"/>
              </w:pict>
            </w:r>
          </w:p>
        </w:tc>
      </w:tr>
      <w:tr w:rsidR="00A72E7A" w:rsidRPr="00A72E7A" w14:paraId="28CF71E6" w14:textId="77777777" w:rsidTr="00A72E7A">
        <w:trPr>
          <w:tblCellSpacing w:w="15" w:type="dxa"/>
        </w:trPr>
        <w:tc>
          <w:tcPr>
            <w:tcW w:w="2032" w:type="dxa"/>
            <w:vAlign w:val="center"/>
            <w:hideMark/>
          </w:tcPr>
          <w:p w14:paraId="651EEE52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Material Type</w:t>
            </w:r>
          </w:p>
        </w:tc>
        <w:tc>
          <w:tcPr>
            <w:tcW w:w="2935" w:type="dxa"/>
            <w:vAlign w:val="center"/>
            <w:hideMark/>
          </w:tcPr>
          <w:p w14:paraId="6EA9BCD8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In Text Citation</w:t>
            </w:r>
          </w:p>
        </w:tc>
        <w:tc>
          <w:tcPr>
            <w:tcW w:w="8953" w:type="dxa"/>
            <w:vAlign w:val="center"/>
            <w:hideMark/>
          </w:tcPr>
          <w:p w14:paraId="00BE8A62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Reference List Entry</w:t>
            </w:r>
          </w:p>
        </w:tc>
      </w:tr>
      <w:tr w:rsidR="00A72E7A" w:rsidRPr="00A72E7A" w14:paraId="7B2D8FB6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3951430C" w14:textId="674BEA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Book</w:t>
            </w:r>
          </w:p>
        </w:tc>
        <w:tc>
          <w:tcPr>
            <w:tcW w:w="2935" w:type="dxa"/>
            <w:hideMark/>
          </w:tcPr>
          <w:p w14:paraId="7D85F511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(Wells, 2009, pp. 225-226)</w:t>
            </w:r>
          </w:p>
        </w:tc>
        <w:tc>
          <w:tcPr>
            <w:tcW w:w="8953" w:type="dxa"/>
            <w:hideMark/>
          </w:tcPr>
          <w:p w14:paraId="17177D45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Wells, A. (2009).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Metacognitive therapy for anxiety and depression in psychology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 Guilford Press.</w:t>
            </w:r>
          </w:p>
        </w:tc>
      </w:tr>
      <w:tr w:rsidR="00A72E7A" w:rsidRPr="00A72E7A" w14:paraId="0B5049BF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03E1805D" w14:textId="77777777" w:rsid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Book: </w:t>
            </w:r>
          </w:p>
          <w:p w14:paraId="7794A5A7" w14:textId="083567F3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Two Authors</w:t>
            </w:r>
          </w:p>
        </w:tc>
        <w:tc>
          <w:tcPr>
            <w:tcW w:w="2935" w:type="dxa"/>
            <w:hideMark/>
          </w:tcPr>
          <w:p w14:paraId="1CA3FD6B" w14:textId="2F7BDE50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Colcough</w:t>
            </w:r>
            <w:proofErr w:type="spellEnd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&amp; </w:t>
            </w:r>
            <w:proofErr w:type="spellStart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Colcough</w:t>
            </w:r>
            <w:proofErr w:type="spellEnd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p. 20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8953" w:type="dxa"/>
            <w:hideMark/>
          </w:tcPr>
          <w:p w14:paraId="5A3DAE30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Colclough, B., &amp; Colclough, J. (1999).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A challenge to change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. </w:t>
            </w:r>
            <w:proofErr w:type="spellStart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Thorsons</w:t>
            </w:r>
            <w:proofErr w:type="spellEnd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</w:tc>
      </w:tr>
      <w:tr w:rsidR="00A72E7A" w:rsidRPr="00A72E7A" w14:paraId="087C3B5D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1A0E3E5A" w14:textId="77777777" w:rsid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Book: </w:t>
            </w:r>
          </w:p>
          <w:p w14:paraId="2229E3DA" w14:textId="6E586709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Multiple authors </w:t>
            </w:r>
          </w:p>
        </w:tc>
        <w:tc>
          <w:tcPr>
            <w:tcW w:w="2935" w:type="dxa"/>
            <w:hideMark/>
          </w:tcPr>
          <w:p w14:paraId="3C16F644" w14:textId="2B298586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(Rosenthal et al.,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p. 1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8953" w:type="dxa"/>
            <w:hideMark/>
          </w:tcPr>
          <w:p w14:paraId="57F260E6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Rosenthal, R., </w:t>
            </w:r>
            <w:proofErr w:type="spellStart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Rosnow</w:t>
            </w:r>
            <w:proofErr w:type="spellEnd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R. L., &amp; Rubin, D. B. (2000).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Contrasts and effect sizes in </w:t>
            </w:r>
            <w:proofErr w:type="spellStart"/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behavioral</w:t>
            </w:r>
            <w:proofErr w:type="spellEnd"/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research: A correlational approach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 Cambridge University Press.</w:t>
            </w:r>
          </w:p>
        </w:tc>
      </w:tr>
      <w:tr w:rsidR="00A72E7A" w:rsidRPr="00A72E7A" w14:paraId="63FE0BC4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4F8C5876" w14:textId="77777777" w:rsid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Book: </w:t>
            </w:r>
          </w:p>
          <w:p w14:paraId="559B3DDF" w14:textId="5075BACE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No Author</w:t>
            </w:r>
          </w:p>
        </w:tc>
        <w:tc>
          <w:tcPr>
            <w:tcW w:w="2935" w:type="dxa"/>
            <w:hideMark/>
          </w:tcPr>
          <w:p w14:paraId="3FA18348" w14:textId="2F98F2E8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(The Blackwell Dictionary of Cognitive Psychology, 1991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p.1000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8953" w:type="dxa"/>
            <w:hideMark/>
          </w:tcPr>
          <w:p w14:paraId="323630E2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The Blackwell dictionary of cognitive psychology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 (1991). Blackwell.</w:t>
            </w:r>
          </w:p>
        </w:tc>
      </w:tr>
      <w:tr w:rsidR="00A72E7A" w:rsidRPr="00A72E7A" w14:paraId="57488EB5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24164ADA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Book: Editor</w:t>
            </w:r>
          </w:p>
        </w:tc>
        <w:tc>
          <w:tcPr>
            <w:tcW w:w="2935" w:type="dxa"/>
            <w:hideMark/>
          </w:tcPr>
          <w:p w14:paraId="06424F36" w14:textId="0BFDFF90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(Snyder, 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p. 1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8953" w:type="dxa"/>
            <w:hideMark/>
          </w:tcPr>
          <w:p w14:paraId="38E57F11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Snyder, C. R. (Ed.). (1999).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Coping: The psychology of what works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 Oxford University Press.</w:t>
            </w:r>
          </w:p>
        </w:tc>
      </w:tr>
      <w:tr w:rsidR="00A72E7A" w:rsidRPr="00A72E7A" w14:paraId="0BECB703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6255D8AB" w14:textId="77777777" w:rsid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Book: </w:t>
            </w:r>
          </w:p>
          <w:p w14:paraId="1597A64D" w14:textId="19AB7936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2 or More Editors</w:t>
            </w:r>
          </w:p>
        </w:tc>
        <w:tc>
          <w:tcPr>
            <w:tcW w:w="2935" w:type="dxa"/>
            <w:hideMark/>
          </w:tcPr>
          <w:p w14:paraId="75D384B4" w14:textId="3F5233B3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(Binstock &amp; George, 1990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p. 10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8953" w:type="dxa"/>
            <w:hideMark/>
          </w:tcPr>
          <w:p w14:paraId="4E96D817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Binstock, R. H., &amp; George, L. K. (Eds.). (1990).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Handbook of aging and the social sciences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(3rd ed.). Academic Press.</w:t>
            </w:r>
          </w:p>
        </w:tc>
      </w:tr>
      <w:tr w:rsidR="00A72E7A" w:rsidRPr="00A72E7A" w14:paraId="32D9DB97" w14:textId="77777777" w:rsidTr="00A72E7A">
        <w:trPr>
          <w:tblCellSpacing w:w="15" w:type="dxa"/>
        </w:trPr>
        <w:tc>
          <w:tcPr>
            <w:tcW w:w="13980" w:type="dxa"/>
            <w:gridSpan w:val="3"/>
            <w:vAlign w:val="center"/>
            <w:hideMark/>
          </w:tcPr>
          <w:p w14:paraId="002EC713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pict w14:anchorId="013324A6">
                <v:rect id="_x0000_i1026" style="width:0;height:1.5pt" o:hralign="center" o:hrstd="t" o:hr="t" fillcolor="#a0a0a0" stroked="f"/>
              </w:pict>
            </w:r>
          </w:p>
          <w:p w14:paraId="1D97D06A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7" w:tgtFrame="_blank" w:history="1">
              <w:r w:rsidR="00A72E7A" w:rsidRPr="00A72E7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E-books</w:t>
              </w:r>
            </w:hyperlink>
            <w:r w:rsidR="00A72E7A"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14:paraId="642321F0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pict w14:anchorId="221195A6">
                <v:rect id="_x0000_i1027" style="width:0;height:1.5pt" o:hralign="center" o:hrstd="t" o:hr="t" fillcolor="#a0a0a0" stroked="f"/>
              </w:pict>
            </w:r>
          </w:p>
        </w:tc>
      </w:tr>
      <w:tr w:rsidR="00A72E7A" w:rsidRPr="00A72E7A" w14:paraId="622858F1" w14:textId="77777777" w:rsidTr="00A72E7A">
        <w:trPr>
          <w:tblCellSpacing w:w="15" w:type="dxa"/>
        </w:trPr>
        <w:tc>
          <w:tcPr>
            <w:tcW w:w="2032" w:type="dxa"/>
            <w:vAlign w:val="center"/>
            <w:hideMark/>
          </w:tcPr>
          <w:p w14:paraId="6AC9FCCE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Material Type</w:t>
            </w:r>
          </w:p>
        </w:tc>
        <w:tc>
          <w:tcPr>
            <w:tcW w:w="2935" w:type="dxa"/>
            <w:vAlign w:val="center"/>
            <w:hideMark/>
          </w:tcPr>
          <w:p w14:paraId="61F45994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In Text Citation</w:t>
            </w:r>
          </w:p>
        </w:tc>
        <w:tc>
          <w:tcPr>
            <w:tcW w:w="8953" w:type="dxa"/>
            <w:vAlign w:val="center"/>
            <w:hideMark/>
          </w:tcPr>
          <w:p w14:paraId="761D6E96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Reference List Entry</w:t>
            </w:r>
          </w:p>
        </w:tc>
      </w:tr>
      <w:tr w:rsidR="00A72E7A" w:rsidRPr="00A72E7A" w14:paraId="795DDE73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40E8F77B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E-book</w:t>
            </w:r>
          </w:p>
        </w:tc>
        <w:tc>
          <w:tcPr>
            <w:tcW w:w="2935" w:type="dxa"/>
            <w:hideMark/>
          </w:tcPr>
          <w:p w14:paraId="446B1308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(Eckes, 2000)</w:t>
            </w:r>
          </w:p>
        </w:tc>
        <w:tc>
          <w:tcPr>
            <w:tcW w:w="8953" w:type="dxa"/>
            <w:hideMark/>
          </w:tcPr>
          <w:p w14:paraId="5AC60294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Eckes, T. (2000).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The developmental social psychology of gender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 Lawrence Erlbaum Associates. https://prospero.murdoch.edu.au:443/record=b1600608</w:t>
            </w:r>
          </w:p>
        </w:tc>
      </w:tr>
      <w:tr w:rsidR="00A72E7A" w:rsidRPr="00A72E7A" w14:paraId="5DCF0A31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212BD731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Chapter from an E-book</w:t>
            </w:r>
          </w:p>
        </w:tc>
        <w:tc>
          <w:tcPr>
            <w:tcW w:w="2935" w:type="dxa"/>
            <w:hideMark/>
          </w:tcPr>
          <w:p w14:paraId="29EB3E8E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(Jones &amp; Gagnon, 2007)</w:t>
            </w:r>
          </w:p>
        </w:tc>
        <w:tc>
          <w:tcPr>
            <w:tcW w:w="8953" w:type="dxa"/>
            <w:hideMark/>
          </w:tcPr>
          <w:p w14:paraId="40CB9990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Jones, N. A., &amp; Gagnon, C. M. (2007). The neurophysiology of empathy. In T. F. D. Farrow &amp; P. W. R. Woodruff (Eds.),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Empathy in mental illness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 Cambridge University Press. https://prospero.murdoch.edu.au:443/record=b2130403</w:t>
            </w:r>
          </w:p>
        </w:tc>
      </w:tr>
      <w:tr w:rsidR="00A72E7A" w:rsidRPr="00A72E7A" w14:paraId="100C872C" w14:textId="77777777" w:rsidTr="00A72E7A">
        <w:trPr>
          <w:tblCellSpacing w:w="15" w:type="dxa"/>
        </w:trPr>
        <w:tc>
          <w:tcPr>
            <w:tcW w:w="2032" w:type="dxa"/>
          </w:tcPr>
          <w:p w14:paraId="6AC6F4AE" w14:textId="3C018129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35" w:type="dxa"/>
          </w:tcPr>
          <w:p w14:paraId="59F3F94F" w14:textId="77777777" w:rsid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6DA5B337" w14:textId="7AD1B404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953" w:type="dxa"/>
          </w:tcPr>
          <w:p w14:paraId="08D93680" w14:textId="4F96299A" w:rsidR="00A72E7A" w:rsidRPr="00A72E7A" w:rsidRDefault="00A72E7A" w:rsidP="00A72E7A">
            <w:pPr>
              <w:spacing w:before="100" w:beforeAutospacing="1" w:after="100" w:afterAutospacing="1" w:line="240" w:lineRule="auto"/>
              <w:ind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A72E7A" w:rsidRPr="00A72E7A" w14:paraId="78A2743E" w14:textId="77777777" w:rsidTr="00A72E7A">
        <w:trPr>
          <w:tblCellSpacing w:w="15" w:type="dxa"/>
        </w:trPr>
        <w:tc>
          <w:tcPr>
            <w:tcW w:w="13980" w:type="dxa"/>
            <w:gridSpan w:val="3"/>
            <w:vAlign w:val="center"/>
            <w:hideMark/>
          </w:tcPr>
          <w:p w14:paraId="032F1E79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pict w14:anchorId="17A6D4A1">
                <v:rect id="_x0000_i1028" style="width:0;height:1.5pt" o:hralign="center" o:hrstd="t" o:hr="t" fillcolor="#a0a0a0" stroked="f"/>
              </w:pict>
            </w:r>
          </w:p>
          <w:p w14:paraId="41B0B67D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8" w:tgtFrame="_blank" w:history="1">
              <w:r w:rsidR="00A72E7A" w:rsidRPr="00A72E7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E-journals</w:t>
              </w:r>
            </w:hyperlink>
            <w:r w:rsidR="00A72E7A"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14:paraId="3355AB89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pict w14:anchorId="7637E2DD">
                <v:rect id="_x0000_i1029" style="width:0;height:1.5pt" o:hralign="center" o:hrstd="t" o:hr="t" fillcolor="#a0a0a0" stroked="f"/>
              </w:pict>
            </w:r>
          </w:p>
        </w:tc>
      </w:tr>
      <w:tr w:rsidR="00A72E7A" w:rsidRPr="00A72E7A" w14:paraId="28D9AC11" w14:textId="77777777" w:rsidTr="00A72E7A">
        <w:trPr>
          <w:tblCellSpacing w:w="15" w:type="dxa"/>
        </w:trPr>
        <w:tc>
          <w:tcPr>
            <w:tcW w:w="2032" w:type="dxa"/>
            <w:vAlign w:val="center"/>
            <w:hideMark/>
          </w:tcPr>
          <w:p w14:paraId="0B5267B0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lastRenderedPageBreak/>
              <w:t>Material Type</w:t>
            </w:r>
          </w:p>
        </w:tc>
        <w:tc>
          <w:tcPr>
            <w:tcW w:w="2935" w:type="dxa"/>
            <w:vAlign w:val="center"/>
            <w:hideMark/>
          </w:tcPr>
          <w:p w14:paraId="73607379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In Text Citation</w:t>
            </w:r>
          </w:p>
        </w:tc>
        <w:tc>
          <w:tcPr>
            <w:tcW w:w="8953" w:type="dxa"/>
            <w:vAlign w:val="center"/>
            <w:hideMark/>
          </w:tcPr>
          <w:p w14:paraId="563ACD0F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Reference List Entry</w:t>
            </w:r>
          </w:p>
        </w:tc>
      </w:tr>
      <w:tr w:rsidR="00A72E7A" w:rsidRPr="00A72E7A" w14:paraId="4A31EA0C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41AAC611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Journal Article with a DOI</w:t>
            </w:r>
          </w:p>
        </w:tc>
        <w:tc>
          <w:tcPr>
            <w:tcW w:w="2935" w:type="dxa"/>
            <w:hideMark/>
          </w:tcPr>
          <w:p w14:paraId="4F7D555D" w14:textId="5FC183E6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(Vogels, 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p. 112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8953" w:type="dxa"/>
            <w:hideMark/>
          </w:tcPr>
          <w:p w14:paraId="1640ACCD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Vogels, A. G. C., Crone, M. R., Hoekstra, F., &amp; </w:t>
            </w:r>
            <w:proofErr w:type="spellStart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Reijneveld</w:t>
            </w:r>
            <w:proofErr w:type="spellEnd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S. A. (2009). Comparing three short questionnaires to detect psychosocial dysfunction among primary school children: a randomized method.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BMC Public Health, 9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489. https://doi.org/10.1186/1471-2458-9-489</w:t>
            </w:r>
          </w:p>
        </w:tc>
      </w:tr>
      <w:tr w:rsidR="00A72E7A" w:rsidRPr="00A72E7A" w14:paraId="362D117F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6785E03D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Journal Article with a URL</w:t>
            </w:r>
          </w:p>
        </w:tc>
        <w:tc>
          <w:tcPr>
            <w:tcW w:w="2935" w:type="dxa"/>
            <w:hideMark/>
          </w:tcPr>
          <w:p w14:paraId="15F87382" w14:textId="6C7BD7B3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(Ahmann,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p. 10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8953" w:type="dxa"/>
            <w:hideMark/>
          </w:tcPr>
          <w:p w14:paraId="7773F28D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Ahmann, E., Tuttle, L. J., </w:t>
            </w:r>
            <w:proofErr w:type="spellStart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Saviet</w:t>
            </w:r>
            <w:proofErr w:type="spellEnd"/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M., &amp; Wright, S. D. (2018). A descriptive review of ADHD coaching research: Implications for college students.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Journal of Postsecondary Education and Disability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31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(1), 24-58. https://www.ahead.org/professional-resources/publications/jped/archived-jped/jped-volume-31</w:t>
            </w:r>
          </w:p>
        </w:tc>
      </w:tr>
      <w:tr w:rsidR="00A72E7A" w:rsidRPr="00A72E7A" w14:paraId="4E46C0A1" w14:textId="77777777" w:rsidTr="00A72E7A">
        <w:trPr>
          <w:tblCellSpacing w:w="15" w:type="dxa"/>
        </w:trPr>
        <w:tc>
          <w:tcPr>
            <w:tcW w:w="13980" w:type="dxa"/>
            <w:gridSpan w:val="3"/>
            <w:vAlign w:val="center"/>
            <w:hideMark/>
          </w:tcPr>
          <w:p w14:paraId="11B883A3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pict w14:anchorId="3A4F77BD">
                <v:rect id="_x0000_i1030" style="width:0;height:1.5pt" o:hralign="center" o:hrstd="t" o:hr="t" fillcolor="#a0a0a0" stroked="f"/>
              </w:pict>
            </w:r>
          </w:p>
          <w:p w14:paraId="6E9EBCA2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9" w:tgtFrame="_blank" w:history="1">
              <w:r w:rsidR="00A72E7A" w:rsidRPr="00A72E7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Journal Articles</w:t>
              </w:r>
            </w:hyperlink>
            <w:r w:rsidR="00A72E7A"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14:paraId="5AB78A70" w14:textId="77777777" w:rsidR="00A72E7A" w:rsidRPr="00A72E7A" w:rsidRDefault="00000000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pict w14:anchorId="15B15166">
                <v:rect id="_x0000_i1031" style="width:0;height:1.5pt" o:hralign="center" o:hrstd="t" o:hr="t" fillcolor="#a0a0a0" stroked="f"/>
              </w:pict>
            </w:r>
          </w:p>
        </w:tc>
      </w:tr>
      <w:tr w:rsidR="00A72E7A" w:rsidRPr="00A72E7A" w14:paraId="24E152BA" w14:textId="77777777" w:rsidTr="00A72E7A">
        <w:trPr>
          <w:tblCellSpacing w:w="15" w:type="dxa"/>
        </w:trPr>
        <w:tc>
          <w:tcPr>
            <w:tcW w:w="2032" w:type="dxa"/>
            <w:vAlign w:val="center"/>
            <w:hideMark/>
          </w:tcPr>
          <w:p w14:paraId="0B58C771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Material Type</w:t>
            </w:r>
          </w:p>
        </w:tc>
        <w:tc>
          <w:tcPr>
            <w:tcW w:w="2935" w:type="dxa"/>
            <w:vAlign w:val="center"/>
            <w:hideMark/>
          </w:tcPr>
          <w:p w14:paraId="67E8038E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In Text Citation</w:t>
            </w:r>
          </w:p>
        </w:tc>
        <w:tc>
          <w:tcPr>
            <w:tcW w:w="8953" w:type="dxa"/>
            <w:vAlign w:val="center"/>
            <w:hideMark/>
          </w:tcPr>
          <w:p w14:paraId="4ADD3FB1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Reference List Entry</w:t>
            </w:r>
          </w:p>
        </w:tc>
      </w:tr>
      <w:tr w:rsidR="00A72E7A" w:rsidRPr="00A72E7A" w14:paraId="7E650E28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770D33A1" w14:textId="27B66023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Journal Article in Print</w:t>
            </w:r>
          </w:p>
        </w:tc>
        <w:tc>
          <w:tcPr>
            <w:tcW w:w="2935" w:type="dxa"/>
            <w:hideMark/>
          </w:tcPr>
          <w:p w14:paraId="5082B0FB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(Parker &amp; Roy, 2001, p. 574)</w:t>
            </w:r>
          </w:p>
        </w:tc>
        <w:tc>
          <w:tcPr>
            <w:tcW w:w="8953" w:type="dxa"/>
            <w:hideMark/>
          </w:tcPr>
          <w:p w14:paraId="40CC7303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Parker, G., &amp; Roy, K. (2001). Adolescent depression: A review.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Australian and New Zealand Journal of Psychiatry, 35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572-580.</w:t>
            </w:r>
          </w:p>
        </w:tc>
      </w:tr>
      <w:tr w:rsidR="00A72E7A" w:rsidRPr="00A72E7A" w14:paraId="3083F87B" w14:textId="77777777" w:rsidTr="00A72E7A">
        <w:trPr>
          <w:tblCellSpacing w:w="15" w:type="dxa"/>
        </w:trPr>
        <w:tc>
          <w:tcPr>
            <w:tcW w:w="2032" w:type="dxa"/>
            <w:hideMark/>
          </w:tcPr>
          <w:p w14:paraId="05DD0D18" w14:textId="77777777" w:rsidR="00A72E7A" w:rsidRPr="00A72E7A" w:rsidRDefault="00A72E7A" w:rsidP="00A72E7A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Journal Article in Print with 3-20 Authors</w:t>
            </w:r>
          </w:p>
        </w:tc>
        <w:tc>
          <w:tcPr>
            <w:tcW w:w="2935" w:type="dxa"/>
            <w:hideMark/>
          </w:tcPr>
          <w:p w14:paraId="0C4C0F3D" w14:textId="458783A2" w:rsidR="00A72E7A" w:rsidRPr="00A72E7A" w:rsidRDefault="00A72E7A" w:rsidP="00A72E7A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(Zhang et al., 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p. 10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8953" w:type="dxa"/>
            <w:hideMark/>
          </w:tcPr>
          <w:p w14:paraId="5CF14F81" w14:textId="77777777" w:rsidR="00A72E7A" w:rsidRPr="00A72E7A" w:rsidRDefault="00A72E7A" w:rsidP="00A72E7A">
            <w:pPr>
              <w:spacing w:before="100" w:beforeAutospacing="1" w:after="100" w:afterAutospacing="1" w:line="240" w:lineRule="auto"/>
              <w:ind w:left="480" w:hanging="48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Zhang, B., Cohen, J., Ferrence, R., &amp; Rehm, J. (2006). The impact of tobacco tax cuts on smoking initiation among Canadian young adults. </w:t>
            </w:r>
            <w:r w:rsidRPr="00A72E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American Journal of Preventive Medicine, 30</w:t>
            </w:r>
            <w:r w:rsidRPr="00A72E7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(6), 474-479.</w:t>
            </w:r>
          </w:p>
        </w:tc>
      </w:tr>
    </w:tbl>
    <w:p w14:paraId="6AF91EDE" w14:textId="77777777" w:rsidR="00000000" w:rsidRPr="00A72E7A" w:rsidRDefault="00000000" w:rsidP="00A72E7A"/>
    <w:sectPr w:rsidR="00F343D0" w:rsidRPr="00A72E7A" w:rsidSect="00A72E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7A"/>
    <w:rsid w:val="004736C1"/>
    <w:rsid w:val="00696301"/>
    <w:rsid w:val="00900770"/>
    <w:rsid w:val="00994D9C"/>
    <w:rsid w:val="009E65E3"/>
    <w:rsid w:val="00A72E7A"/>
    <w:rsid w:val="00D220A7"/>
    <w:rsid w:val="00E35EE8"/>
    <w:rsid w:val="00E8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787F"/>
  <w15:chartTrackingRefBased/>
  <w15:docId w15:val="{B1213ABF-3A15-420D-800C-C40496E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C1"/>
    <w:pPr>
      <w:spacing w:after="0" w:line="288" w:lineRule="auto"/>
      <w:contextualSpacing/>
      <w:jc w:val="both"/>
    </w:pPr>
    <w:rPr>
      <w:rFonts w:ascii="Helvetica light" w:hAnsi="Helvetica light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E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2E7A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iteboxright">
    <w:name w:val="citeboxright"/>
    <w:basedOn w:val="Normal"/>
    <w:rsid w:val="00A72E7A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72E7A"/>
    <w:rPr>
      <w:i/>
      <w:iCs/>
    </w:rPr>
  </w:style>
  <w:style w:type="paragraph" w:customStyle="1" w:styleId="c3">
    <w:name w:val="c3"/>
    <w:basedOn w:val="Normal"/>
    <w:rsid w:val="00A72E7A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murdoch.edu.au/APA/ejour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guides.murdoch.edu.au/APA/ebo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guides.murdoch.edu.au/APA/boo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ibguides.murdoch.edu.au/APA/jou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Robinson</dc:creator>
  <cp:keywords/>
  <dc:description/>
  <cp:lastModifiedBy>Moira Bryant</cp:lastModifiedBy>
  <cp:revision>2</cp:revision>
  <dcterms:created xsi:type="dcterms:W3CDTF">2024-02-07T03:12:00Z</dcterms:created>
  <dcterms:modified xsi:type="dcterms:W3CDTF">2024-02-07T03:12:00Z</dcterms:modified>
</cp:coreProperties>
</file>